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C77" w14:textId="77777777" w:rsidR="00772A24" w:rsidRPr="00432178" w:rsidRDefault="00772A24" w:rsidP="00772A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2178">
        <w:rPr>
          <w:b/>
          <w:sz w:val="28"/>
          <w:szCs w:val="28"/>
        </w:rPr>
        <w:t>ODPORÚČANÁ LITERATÚRA</w:t>
      </w:r>
    </w:p>
    <w:p w14:paraId="0A6DBAEC" w14:textId="77777777" w:rsidR="00772A24" w:rsidRPr="00432178" w:rsidRDefault="00772A24" w:rsidP="00772A24">
      <w:pPr>
        <w:autoSpaceDE w:val="0"/>
        <w:autoSpaceDN w:val="0"/>
        <w:adjustRightInd w:val="0"/>
        <w:ind w:left="1065"/>
        <w:jc w:val="both"/>
        <w:rPr>
          <w:b/>
          <w:bCs/>
        </w:rPr>
      </w:pPr>
    </w:p>
    <w:p w14:paraId="2EA8B379" w14:textId="77777777" w:rsidR="00772A24" w:rsidRPr="00432178" w:rsidRDefault="00772A24" w:rsidP="00772A24">
      <w:pPr>
        <w:keepNext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 xml:space="preserve">ČUNDERLÍK,D.: </w:t>
      </w:r>
      <w:r w:rsidRPr="00432178">
        <w:rPr>
          <w:iCs/>
        </w:rPr>
        <w:t>Podnikateľské riziko</w:t>
      </w:r>
      <w:r w:rsidRPr="00432178">
        <w:t xml:space="preserve">. Bratislava: </w:t>
      </w:r>
      <w:proofErr w:type="spellStart"/>
      <w:r w:rsidRPr="00432178">
        <w:t>Heureka</w:t>
      </w:r>
      <w:proofErr w:type="spellEnd"/>
      <w:r w:rsidRPr="00432178">
        <w:t>, 1995</w:t>
      </w:r>
    </w:p>
    <w:p w14:paraId="18F9E43A" w14:textId="77777777" w:rsidR="00772A24" w:rsidRPr="00432178" w:rsidRDefault="00772A24" w:rsidP="00772A24">
      <w:pPr>
        <w:keepNext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 xml:space="preserve">ŠEBEK, J: </w:t>
      </w:r>
      <w:r w:rsidRPr="00432178">
        <w:rPr>
          <w:iCs/>
        </w:rPr>
        <w:t xml:space="preserve">Ekonomické a právne aspekty rizika v podnikateľskej činnosti. </w:t>
      </w:r>
      <w:r w:rsidRPr="00432178">
        <w:t>Bratislava, Vydavateľstvo Právnickej fakulty UK, 1996</w:t>
      </w:r>
    </w:p>
    <w:p w14:paraId="45B5528C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 xml:space="preserve">JÍLEK, J.: Finanční a komoditní deriváty. Praha, </w:t>
      </w:r>
      <w:proofErr w:type="spellStart"/>
      <w:r w:rsidRPr="00432178">
        <w:t>Grada</w:t>
      </w:r>
      <w:proofErr w:type="spellEnd"/>
      <w:r w:rsidRPr="00432178">
        <w:t xml:space="preserve"> </w:t>
      </w:r>
      <w:proofErr w:type="spellStart"/>
      <w:r w:rsidRPr="00432178">
        <w:t>Publishing</w:t>
      </w:r>
      <w:proofErr w:type="spellEnd"/>
      <w:r w:rsidRPr="00432178">
        <w:t xml:space="preserve">, 2002 </w:t>
      </w:r>
    </w:p>
    <w:p w14:paraId="582C97A7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 xml:space="preserve">CORMAN, L.: </w:t>
      </w:r>
      <w:proofErr w:type="spellStart"/>
      <w:r w:rsidRPr="00432178">
        <w:t>Hedging</w:t>
      </w:r>
      <w:proofErr w:type="spellEnd"/>
      <w:r w:rsidRPr="00432178">
        <w:t xml:space="preserve"> risk </w:t>
      </w:r>
      <w:proofErr w:type="spellStart"/>
      <w:r w:rsidRPr="00432178">
        <w:t>without</w:t>
      </w:r>
      <w:proofErr w:type="spellEnd"/>
      <w:r w:rsidRPr="00432178">
        <w:t xml:space="preserve"> </w:t>
      </w:r>
      <w:proofErr w:type="spellStart"/>
      <w:r w:rsidRPr="00432178">
        <w:t>derivatives</w:t>
      </w:r>
      <w:proofErr w:type="spellEnd"/>
      <w:r w:rsidRPr="00432178">
        <w:t xml:space="preserve">. </w:t>
      </w:r>
      <w:proofErr w:type="spellStart"/>
      <w:r w:rsidRPr="00432178">
        <w:t>Tresaury</w:t>
      </w:r>
      <w:proofErr w:type="spellEnd"/>
      <w:r w:rsidRPr="00432178">
        <w:t xml:space="preserve"> &amp; Risk Management, 1997</w:t>
      </w:r>
    </w:p>
    <w:p w14:paraId="41C2D6DB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 xml:space="preserve">LANZIA, M., DEMJAN, V.: Možnosti zabezpečenia sa na devízových trhoch. Bratislava, </w:t>
      </w:r>
      <w:proofErr w:type="spellStart"/>
      <w:r w:rsidRPr="00432178">
        <w:t>Derivat</w:t>
      </w:r>
      <w:proofErr w:type="spellEnd"/>
      <w:r w:rsidRPr="00432178">
        <w:t xml:space="preserve">, s.r.o., 2005 </w:t>
      </w:r>
    </w:p>
    <w:p w14:paraId="6AB96CB1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>MARKOVIČ, P.: Ohodnocovanie finančných nástrojov, 2003</w:t>
      </w:r>
    </w:p>
    <w:p w14:paraId="668BBA09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>CHOVANCOVÁ, B., MALACKÁ, V., RENDEK, P., TRÚCHLY, P., DEMJAN</w:t>
      </w:r>
    </w:p>
    <w:p w14:paraId="196CCF27" w14:textId="77777777" w:rsidR="00772A24" w:rsidRPr="00432178" w:rsidRDefault="00772A24" w:rsidP="00772A24">
      <w:pPr>
        <w:tabs>
          <w:tab w:val="left" w:pos="720"/>
        </w:tabs>
        <w:autoSpaceDE w:val="0"/>
        <w:autoSpaceDN w:val="0"/>
        <w:adjustRightInd w:val="0"/>
        <w:ind w:left="1065"/>
        <w:jc w:val="both"/>
      </w:pPr>
      <w:r w:rsidRPr="00432178">
        <w:t>V., VOVK, M.: Investičné bankovníctvo. Skriptá. 1. vyd. Bratislava, Vydavateľstvo EKONÓM 2005</w:t>
      </w:r>
    </w:p>
    <w:p w14:paraId="7E53C383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>BALÁŽ, V.: Riziko a neistota. Úvod do behaviorálnej ekonómie a financií. 1. vyd. Bratislava, Veda 2009</w:t>
      </w:r>
    </w:p>
    <w:p w14:paraId="6E806934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>SOUKOPOVÁ, B., ŠLOSÁROVÁ, A., BAŠTINCOVÁ, A.: Účtovníctvo, Edícia Ekonómia, 2001</w:t>
      </w:r>
    </w:p>
    <w:p w14:paraId="4F50F064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432178">
        <w:t>Biatec</w:t>
      </w:r>
      <w:proofErr w:type="spellEnd"/>
      <w:r w:rsidRPr="00432178">
        <w:t>, ročník 21, 3/2013,</w:t>
      </w:r>
      <w:r w:rsidRPr="00432178">
        <w:rPr>
          <w:rFonts w:ascii="csr10" w:eastAsia="csr10" w:cs="csr10"/>
          <w:sz w:val="41"/>
          <w:szCs w:val="41"/>
        </w:rPr>
        <w:t xml:space="preserve"> </w:t>
      </w:r>
      <w:r w:rsidRPr="00432178">
        <w:rPr>
          <w:rFonts w:eastAsia="csr10"/>
        </w:rPr>
        <w:t>Finančne deriváty, FMFI UK, LS 2012/2013</w:t>
      </w:r>
    </w:p>
    <w:p w14:paraId="6F2319F2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3" w:firstLine="0"/>
        <w:jc w:val="both"/>
      </w:pPr>
      <w:r w:rsidRPr="00432178">
        <w:t xml:space="preserve">Zákon č. 595/2003 o dani z príjmov </w:t>
      </w:r>
    </w:p>
    <w:p w14:paraId="30A74F27" w14:textId="77777777" w:rsidR="00772A24" w:rsidRPr="00432178" w:rsidRDefault="00772A24" w:rsidP="00772A24">
      <w:pPr>
        <w:numPr>
          <w:ilvl w:val="0"/>
          <w:numId w:val="1"/>
        </w:numPr>
        <w:ind w:left="703" w:firstLine="0"/>
        <w:jc w:val="both"/>
        <w:rPr>
          <w:b/>
          <w:sz w:val="28"/>
          <w:szCs w:val="28"/>
        </w:rPr>
      </w:pPr>
      <w:r w:rsidRPr="00432178">
        <w:t>Zákon č. 43/2004 Z. z. o starobnom dôchodkovom sporení</w:t>
      </w:r>
    </w:p>
    <w:p w14:paraId="1D9456EC" w14:textId="77777777" w:rsidR="00772A24" w:rsidRPr="00432178" w:rsidRDefault="00772A24" w:rsidP="00772A24">
      <w:pPr>
        <w:numPr>
          <w:ilvl w:val="0"/>
          <w:numId w:val="1"/>
        </w:numPr>
        <w:ind w:left="703" w:firstLine="0"/>
        <w:jc w:val="both"/>
        <w:rPr>
          <w:b/>
          <w:sz w:val="28"/>
          <w:szCs w:val="28"/>
        </w:rPr>
      </w:pPr>
      <w:r w:rsidRPr="00432178">
        <w:t xml:space="preserve">Zákon </w:t>
      </w:r>
      <w:r w:rsidRPr="00432178">
        <w:rPr>
          <w:bCs/>
        </w:rPr>
        <w:t>č. 431/2002 Z. z.</w:t>
      </w:r>
      <w:r w:rsidRPr="00432178">
        <w:t xml:space="preserve"> o účtovníctve</w:t>
      </w:r>
    </w:p>
    <w:p w14:paraId="5ED767B6" w14:textId="77777777" w:rsidR="00772A24" w:rsidRPr="00432178" w:rsidRDefault="00772A24" w:rsidP="00772A24">
      <w:pPr>
        <w:numPr>
          <w:ilvl w:val="0"/>
          <w:numId w:val="1"/>
        </w:numPr>
        <w:ind w:left="703" w:firstLine="0"/>
        <w:jc w:val="both"/>
        <w:rPr>
          <w:b/>
          <w:sz w:val="28"/>
          <w:szCs w:val="28"/>
        </w:rPr>
      </w:pPr>
      <w:r w:rsidRPr="00432178">
        <w:t>Zákon č. 566/2001 Z. z. o cenných papieroch a investičných službách</w:t>
      </w:r>
    </w:p>
    <w:p w14:paraId="08B29201" w14:textId="77777777" w:rsidR="00772A24" w:rsidRPr="00527435" w:rsidRDefault="00772A24" w:rsidP="00772A24">
      <w:pPr>
        <w:numPr>
          <w:ilvl w:val="0"/>
          <w:numId w:val="1"/>
        </w:numPr>
        <w:ind w:left="703" w:firstLine="0"/>
        <w:jc w:val="both"/>
        <w:rPr>
          <w:b/>
          <w:sz w:val="28"/>
          <w:szCs w:val="28"/>
        </w:rPr>
      </w:pPr>
      <w:hyperlink r:id="rId8" w:tgtFrame="_blank" w:history="1">
        <w:r w:rsidRPr="00527435">
          <w:rPr>
            <w:rStyle w:val="Hyperlink"/>
            <w:rFonts w:eastAsiaTheme="majorEastAsia"/>
            <w:color w:val="auto"/>
          </w:rPr>
          <w:t xml:space="preserve">Zákon č. 39/2015 Z. z. o poisťovníctve </w:t>
        </w:r>
      </w:hyperlink>
    </w:p>
    <w:p w14:paraId="4597DE85" w14:textId="77777777" w:rsidR="00772A24" w:rsidRPr="00527435" w:rsidRDefault="00772A24" w:rsidP="00772A24">
      <w:pPr>
        <w:numPr>
          <w:ilvl w:val="0"/>
          <w:numId w:val="1"/>
        </w:numPr>
        <w:ind w:left="703" w:firstLine="0"/>
        <w:jc w:val="both"/>
        <w:rPr>
          <w:rStyle w:val="Hyperlink"/>
          <w:rFonts w:eastAsiaTheme="majorEastAsia"/>
          <w:color w:val="auto"/>
        </w:rPr>
      </w:pPr>
      <w:r w:rsidRPr="00527435">
        <w:rPr>
          <w:rStyle w:val="Hyperlink"/>
          <w:rFonts w:eastAsiaTheme="majorEastAsia"/>
          <w:color w:val="auto"/>
        </w:rPr>
        <w:t xml:space="preserve">Zákon č. 18/2018 Z. z. o ochrane osobných údajov </w:t>
      </w:r>
    </w:p>
    <w:p w14:paraId="0DCDB04D" w14:textId="77777777" w:rsidR="00772A24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3" w:firstLine="0"/>
        <w:jc w:val="both"/>
      </w:pPr>
      <w:r w:rsidRPr="00527435">
        <w:t>GDPR - Nariadenie EURÓPSKEHO PARLAMENTU A R</w:t>
      </w:r>
      <w:r w:rsidRPr="00432178">
        <w:t xml:space="preserve">ADY (EÚ) 2016/679 z </w:t>
      </w:r>
    </w:p>
    <w:p w14:paraId="07FCC828" w14:textId="77777777" w:rsidR="00772A24" w:rsidRDefault="00772A24" w:rsidP="00772A24">
      <w:pPr>
        <w:tabs>
          <w:tab w:val="left" w:pos="720"/>
        </w:tabs>
        <w:autoSpaceDE w:val="0"/>
        <w:autoSpaceDN w:val="0"/>
        <w:adjustRightInd w:val="0"/>
        <w:ind w:left="703"/>
        <w:jc w:val="both"/>
      </w:pPr>
      <w:r>
        <w:t xml:space="preserve">      </w:t>
      </w:r>
      <w:r w:rsidRPr="00432178">
        <w:t>27.</w:t>
      </w:r>
      <w:r>
        <w:t xml:space="preserve"> </w:t>
      </w:r>
      <w:r w:rsidRPr="00432178">
        <w:t>apríla 2016 o  ochrane fyzických osôb pri  spracúvaní osobných údajov  a</w:t>
      </w:r>
    </w:p>
    <w:p w14:paraId="254F442E" w14:textId="77777777" w:rsidR="00772A24" w:rsidRDefault="00772A24" w:rsidP="00772A24">
      <w:pPr>
        <w:tabs>
          <w:tab w:val="left" w:pos="720"/>
        </w:tabs>
        <w:autoSpaceDE w:val="0"/>
        <w:autoSpaceDN w:val="0"/>
        <w:adjustRightInd w:val="0"/>
        <w:ind w:left="703"/>
        <w:jc w:val="both"/>
      </w:pPr>
      <w:r>
        <w:t xml:space="preserve">   </w:t>
      </w:r>
      <w:r w:rsidRPr="00432178">
        <w:t xml:space="preserve">  </w:t>
      </w:r>
      <w:r>
        <w:t xml:space="preserve"> </w:t>
      </w:r>
      <w:r w:rsidRPr="00432178">
        <w:t>o</w:t>
      </w:r>
      <w:r>
        <w:t> </w:t>
      </w:r>
      <w:r w:rsidRPr="00432178">
        <w:t>voľnom</w:t>
      </w:r>
      <w:r>
        <w:t xml:space="preserve"> </w:t>
      </w:r>
      <w:r w:rsidRPr="00432178">
        <w:t>pohybe takýchto údajov, ktorým sa zrušuje smernica 95/46/ES</w:t>
      </w:r>
    </w:p>
    <w:p w14:paraId="45CAD6C5" w14:textId="3F7A328E" w:rsidR="00772A24" w:rsidRPr="00432178" w:rsidRDefault="00772A24" w:rsidP="00772A24">
      <w:pPr>
        <w:tabs>
          <w:tab w:val="left" w:pos="720"/>
        </w:tabs>
        <w:autoSpaceDE w:val="0"/>
        <w:autoSpaceDN w:val="0"/>
        <w:adjustRightInd w:val="0"/>
        <w:ind w:left="703"/>
        <w:jc w:val="both"/>
        <w:rPr>
          <w:rStyle w:val="Hyperlink"/>
          <w:rFonts w:eastAsiaTheme="majorEastAsia"/>
          <w:color w:val="auto"/>
        </w:rPr>
      </w:pPr>
      <w:r>
        <w:t xml:space="preserve">    </w:t>
      </w:r>
      <w:r w:rsidRPr="00432178">
        <w:t xml:space="preserve"> </w:t>
      </w:r>
      <w:r>
        <w:t xml:space="preserve"> </w:t>
      </w:r>
      <w:r w:rsidRPr="00432178">
        <w:t>(všeobecné</w:t>
      </w:r>
      <w:r>
        <w:t xml:space="preserve"> </w:t>
      </w:r>
      <w:r w:rsidRPr="00432178">
        <w:rPr>
          <w:rStyle w:val="Hyperlink"/>
          <w:rFonts w:eastAsiaTheme="majorEastAsia"/>
          <w:color w:val="auto"/>
        </w:rPr>
        <w:t>nariadenie o</w:t>
      </w:r>
      <w:r>
        <w:rPr>
          <w:rStyle w:val="Hyperlink"/>
          <w:rFonts w:eastAsiaTheme="majorEastAsia"/>
          <w:color w:val="auto"/>
        </w:rPr>
        <w:t xml:space="preserve"> </w:t>
      </w:r>
      <w:r w:rsidRPr="00432178">
        <w:rPr>
          <w:rStyle w:val="Hyperlink"/>
          <w:rFonts w:eastAsiaTheme="majorEastAsia"/>
          <w:color w:val="auto"/>
        </w:rPr>
        <w:t>ochrane údajov)</w:t>
      </w:r>
    </w:p>
    <w:p w14:paraId="119E0C7A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>Zákon č. 186/2009 Z. z. o finančnom sprostredkovaní a finančnom poradenstve</w:t>
      </w:r>
    </w:p>
    <w:p w14:paraId="77514DAD" w14:textId="77777777" w:rsidR="00772A24" w:rsidRPr="00432178" w:rsidRDefault="00772A24" w:rsidP="00772A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432178">
        <w:t xml:space="preserve">Zákon č. 650/2004 Z. z. o doplnkovom dôchodkovom sporení </w:t>
      </w:r>
    </w:p>
    <w:p w14:paraId="49F2065A" w14:textId="77777777" w:rsidR="00FF04B5" w:rsidRPr="00564381" w:rsidRDefault="00FF04B5" w:rsidP="00772A24">
      <w:pPr>
        <w:jc w:val="both"/>
      </w:pPr>
    </w:p>
    <w:sectPr w:rsidR="00FF04B5" w:rsidRPr="005643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34DA" w14:textId="77777777" w:rsidR="00772A24" w:rsidRDefault="00772A24" w:rsidP="0009480D">
      <w:r>
        <w:separator/>
      </w:r>
    </w:p>
  </w:endnote>
  <w:endnote w:type="continuationSeparator" w:id="0">
    <w:p w14:paraId="15BE31F1" w14:textId="77777777" w:rsidR="00772A24" w:rsidRDefault="00772A24" w:rsidP="000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sr10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FFD1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9817" w14:textId="77777777" w:rsidR="00772A24" w:rsidRDefault="00772A24" w:rsidP="0009480D">
      <w:r>
        <w:separator/>
      </w:r>
    </w:p>
  </w:footnote>
  <w:footnote w:type="continuationSeparator" w:id="0">
    <w:p w14:paraId="32D0B6E8" w14:textId="77777777" w:rsidR="00772A24" w:rsidRDefault="00772A24" w:rsidP="0009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0F5E"/>
    <w:multiLevelType w:val="hybridMultilevel"/>
    <w:tmpl w:val="63BA6442"/>
    <w:lvl w:ilvl="0" w:tplc="994ED80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24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72A24"/>
    <w:rsid w:val="00782367"/>
    <w:rsid w:val="00787300"/>
    <w:rsid w:val="009841D6"/>
    <w:rsid w:val="009A6FA0"/>
    <w:rsid w:val="00A719D6"/>
    <w:rsid w:val="00B31C02"/>
    <w:rsid w:val="00B42F36"/>
    <w:rsid w:val="00BA4BE5"/>
    <w:rsid w:val="00C35E8A"/>
    <w:rsid w:val="00CB7C08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4860"/>
  <w15:chartTrackingRefBased/>
  <w15:docId w15:val="{49F06336-ED0C-4972-BB6E-95317D2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styleId="Hyperlink">
    <w:name w:val="Hyperlink"/>
    <w:uiPriority w:val="99"/>
    <w:rsid w:val="0077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sk/_img/Documents/_Legislativa/_UplneZneniaZakonov/Z039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Monika</dc:creator>
  <cp:keywords/>
  <dc:description/>
  <cp:lastModifiedBy>Oravcová Monika</cp:lastModifiedBy>
  <cp:revision>1</cp:revision>
  <dcterms:created xsi:type="dcterms:W3CDTF">2022-06-15T12:42:00Z</dcterms:created>
  <dcterms:modified xsi:type="dcterms:W3CDTF">2022-06-15T12:44:00Z</dcterms:modified>
</cp:coreProperties>
</file>